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CEA7" w14:textId="214689BB" w:rsidR="00B44272" w:rsidRDefault="00B44272">
      <w:pPr>
        <w:jc w:val="both"/>
        <w:divId w:val="1116757176"/>
        <w:rPr>
          <w:rFonts w:eastAsia="Times New Roman"/>
        </w:rPr>
      </w:pPr>
    </w:p>
    <w:p w14:paraId="5BDEF1FF" w14:textId="78410BB4" w:rsidR="00B44272" w:rsidRPr="00B44272" w:rsidRDefault="00B44272" w:rsidP="00B44272">
      <w:pPr>
        <w:jc w:val="both"/>
        <w:divId w:val="1116757176"/>
        <w:rPr>
          <w:rFonts w:eastAsia="Times New Roman"/>
          <w:b/>
          <w:bCs/>
        </w:rPr>
      </w:pPr>
      <w:r w:rsidRPr="00B44272">
        <w:rPr>
          <w:rFonts w:eastAsia="Times New Roman"/>
          <w:b/>
          <w:bCs/>
        </w:rPr>
        <w:t>EXTINCIÓN DE LA PENSIÓN DE ALIMENTOS DE HIJOS MAYORES DE EDAD.</w:t>
      </w:r>
      <w:r>
        <w:rPr>
          <w:rFonts w:eastAsia="Times New Roman"/>
        </w:rPr>
        <w:t xml:space="preserve"> La Audiencia confirma la sentencia de primera sentencia que extingue la pensión de alimentos ya La </w:t>
      </w:r>
      <w:r w:rsidRPr="00DC05ED">
        <w:rPr>
          <w:rFonts w:eastAsia="Times New Roman"/>
          <w:highlight w:val="cyan"/>
        </w:rPr>
        <w:t>hija ya tiene 23 años</w:t>
      </w:r>
      <w:r>
        <w:rPr>
          <w:rFonts w:eastAsia="Times New Roman"/>
        </w:rPr>
        <w:t xml:space="preserve"> </w:t>
      </w:r>
      <w:r w:rsidRPr="00DC05ED">
        <w:rPr>
          <w:rFonts w:eastAsia="Times New Roman"/>
          <w:highlight w:val="red"/>
        </w:rPr>
        <w:t>y</w:t>
      </w:r>
      <w:r>
        <w:rPr>
          <w:rFonts w:eastAsia="Times New Roman"/>
        </w:rPr>
        <w:t xml:space="preserve"> </w:t>
      </w:r>
      <w:r w:rsidRPr="00DC05ED">
        <w:rPr>
          <w:rFonts w:eastAsia="Times New Roman"/>
          <w:highlight w:val="cyan"/>
        </w:rPr>
        <w:t>trabaja de manera casi estable</w:t>
      </w:r>
      <w:r>
        <w:rPr>
          <w:rFonts w:eastAsia="Times New Roman"/>
        </w:rPr>
        <w:t xml:space="preserve"> tal como resulta de su hoja de vida laboral </w:t>
      </w:r>
      <w:r w:rsidRPr="00DC05ED">
        <w:rPr>
          <w:rFonts w:eastAsia="Times New Roman"/>
          <w:highlight w:val="cyan"/>
        </w:rPr>
        <w:t>desde el año 2017</w:t>
      </w:r>
      <w:r w:rsidRPr="00DC05ED">
        <w:rPr>
          <w:rFonts w:eastAsia="Times New Roman"/>
          <w:highlight w:val="yellow"/>
        </w:rPr>
        <w:t>. Continuadamente lo hace desde el mes de septiembre de 2020</w:t>
      </w:r>
      <w:r>
        <w:rPr>
          <w:rFonts w:eastAsia="Times New Roman"/>
        </w:rPr>
        <w:t xml:space="preserve"> y recibe unos 1.000€ al mes </w:t>
      </w:r>
      <w:r w:rsidRPr="00DC05ED">
        <w:rPr>
          <w:rFonts w:eastAsia="Times New Roman"/>
          <w:highlight w:val="green"/>
        </w:rPr>
        <w:t xml:space="preserve">no existe la situación de necesidad en el alimentista que es </w:t>
      </w:r>
      <w:proofErr w:type="gramStart"/>
      <w:r w:rsidRPr="00DC05ED">
        <w:rPr>
          <w:rFonts w:eastAsia="Times New Roman"/>
          <w:highlight w:val="green"/>
        </w:rPr>
        <w:t>requisito</w:t>
      </w:r>
      <w:r>
        <w:rPr>
          <w:rFonts w:eastAsia="Times New Roman"/>
        </w:rPr>
        <w:t xml:space="preserve"> imprescindible</w:t>
      </w:r>
      <w:proofErr w:type="gramEnd"/>
      <w:r>
        <w:rPr>
          <w:rFonts w:eastAsia="Times New Roman"/>
        </w:rPr>
        <w:t xml:space="preserve"> para el reconocimiento de la prestación de alimentos. </w:t>
      </w:r>
      <w:r w:rsidRPr="00B44272">
        <w:rPr>
          <w:rFonts w:eastAsia="Times New Roman"/>
          <w:b/>
          <w:bCs/>
        </w:rPr>
        <w:t xml:space="preserve">Sentencia Audiencia provincial de Valladolid de 29 septiembre 2021. Número Sentencia: 361/2021 Ponente: </w:t>
      </w:r>
      <w:hyperlink r:id="rId6" w:tooltip="Buscar jurisprudencia para el ponente" w:history="1">
        <w:r w:rsidRPr="00B44272">
          <w:rPr>
            <w:rStyle w:val="Hipervnculo"/>
            <w:rFonts w:eastAsia="Times New Roman"/>
            <w:b/>
            <w:bCs/>
          </w:rPr>
          <w:t>Francisco Salinero Román</w:t>
        </w:r>
      </w:hyperlink>
      <w:r w:rsidRPr="00B44272">
        <w:rPr>
          <w:rFonts w:eastAsia="Times New Roman"/>
          <w:b/>
          <w:bCs/>
        </w:rPr>
        <w:t xml:space="preserve"> .Origen instancia 3</w:t>
      </w:r>
    </w:p>
    <w:p w14:paraId="2FA62837" w14:textId="12F6A68C" w:rsidR="00B44272" w:rsidRDefault="00B44272" w:rsidP="00B44272">
      <w:pPr>
        <w:jc w:val="both"/>
        <w:divId w:val="1116757176"/>
        <w:rPr>
          <w:rFonts w:eastAsia="Times New Roman"/>
        </w:rPr>
      </w:pPr>
      <w:r>
        <w:rPr>
          <w:rFonts w:eastAsia="Times New Roman"/>
        </w:rPr>
        <w:t>.</w:t>
      </w:r>
    </w:p>
    <w:p w14:paraId="38F7803D" w14:textId="14619ABA" w:rsidR="00B44272" w:rsidRDefault="00B44272" w:rsidP="00B44272">
      <w:pPr>
        <w:jc w:val="both"/>
        <w:divId w:val="1116757176"/>
        <w:rPr>
          <w:rFonts w:eastAsia="Times New Roman"/>
        </w:rPr>
      </w:pPr>
    </w:p>
    <w:p w14:paraId="2A1E8082" w14:textId="09FF79A8" w:rsidR="00B44272" w:rsidRDefault="00B44272">
      <w:pPr>
        <w:jc w:val="both"/>
        <w:divId w:val="1116757176"/>
        <w:rPr>
          <w:rFonts w:eastAsia="Times New Roman"/>
        </w:rPr>
      </w:pPr>
    </w:p>
    <w:p w14:paraId="43013B23" w14:textId="77777777" w:rsidR="00B44272" w:rsidRDefault="00B44272">
      <w:pPr>
        <w:jc w:val="both"/>
        <w:divId w:val="1116757176"/>
        <w:rPr>
          <w:rFonts w:eastAsia="Times New Roman"/>
        </w:rPr>
      </w:pPr>
    </w:p>
    <w:p w14:paraId="03A7E3B8" w14:textId="51479A8F" w:rsidR="00A72F59" w:rsidRDefault="005560B8">
      <w:pPr>
        <w:jc w:val="both"/>
        <w:divId w:val="1116757176"/>
        <w:rPr>
          <w:rFonts w:eastAsia="Times New Roman"/>
        </w:rPr>
      </w:pPr>
      <w:r>
        <w:rPr>
          <w:rFonts w:eastAsia="Times New Roman"/>
          <w:b/>
          <w:bCs/>
        </w:rPr>
        <w:t>Cabecera:</w:t>
      </w:r>
      <w:r>
        <w:rPr>
          <w:rFonts w:eastAsia="Times New Roman"/>
        </w:rPr>
        <w:t xml:space="preserve"> </w:t>
      </w:r>
      <w:proofErr w:type="spellStart"/>
      <w:r>
        <w:rPr>
          <w:rFonts w:eastAsia="Times New Roman"/>
        </w:rPr>
        <w:t>Extincion</w:t>
      </w:r>
      <w:proofErr w:type="spellEnd"/>
      <w:r>
        <w:rPr>
          <w:rFonts w:eastAsia="Times New Roman"/>
        </w:rPr>
        <w:t xml:space="preserve"> de la </w:t>
      </w:r>
      <w:proofErr w:type="spellStart"/>
      <w:r>
        <w:rPr>
          <w:rFonts w:eastAsia="Times New Roman"/>
        </w:rPr>
        <w:t>pension</w:t>
      </w:r>
      <w:proofErr w:type="spellEnd"/>
      <w:r>
        <w:rPr>
          <w:rFonts w:eastAsia="Times New Roman"/>
        </w:rPr>
        <w:t xml:space="preserve"> alimenticia. </w:t>
      </w:r>
      <w:proofErr w:type="spellStart"/>
      <w:r>
        <w:rPr>
          <w:rFonts w:eastAsia="Times New Roman"/>
        </w:rPr>
        <w:t>Pension</w:t>
      </w:r>
      <w:proofErr w:type="spellEnd"/>
      <w:r>
        <w:rPr>
          <w:rFonts w:eastAsia="Times New Roman"/>
        </w:rPr>
        <w:t xml:space="preserve"> alimenticia. </w:t>
      </w:r>
      <w:proofErr w:type="spellStart"/>
      <w:r>
        <w:rPr>
          <w:rFonts w:eastAsia="Times New Roman"/>
        </w:rPr>
        <w:t>Proteccion</w:t>
      </w:r>
      <w:proofErr w:type="spellEnd"/>
      <w:r>
        <w:rPr>
          <w:rFonts w:eastAsia="Times New Roman"/>
        </w:rPr>
        <w:t xml:space="preserve"> de datos personales</w:t>
      </w:r>
    </w:p>
    <w:p w14:paraId="5AD7B573" w14:textId="77777777" w:rsidR="00A72F59" w:rsidRDefault="005560B8">
      <w:pPr>
        <w:pStyle w:val="NormalWeb"/>
        <w:jc w:val="both"/>
        <w:divId w:val="1116757176"/>
      </w:pPr>
      <w:r>
        <w:t xml:space="preserve">La parte apelante recurre la sentencia en el pronunciamiento que </w:t>
      </w:r>
      <w:r>
        <w:rPr>
          <w:b/>
          <w:bCs/>
        </w:rPr>
        <w:t xml:space="preserve">suprime la </w:t>
      </w:r>
      <w:proofErr w:type="spellStart"/>
      <w:r>
        <w:rPr>
          <w:b/>
          <w:bCs/>
        </w:rPr>
        <w:t>pension</w:t>
      </w:r>
      <w:proofErr w:type="spellEnd"/>
      <w:r>
        <w:rPr>
          <w:b/>
          <w:bCs/>
        </w:rPr>
        <w:t xml:space="preserve"> alimenticia</w:t>
      </w:r>
      <w:r>
        <w:t xml:space="preserve"> que le fue reconocida en su día a su hija </w:t>
      </w:r>
      <w:proofErr w:type="spellStart"/>
      <w:r>
        <w:t>irene</w:t>
      </w:r>
      <w:proofErr w:type="spellEnd"/>
      <w:r>
        <w:t xml:space="preserve"> pues argumenta que se han interpretado erróneamente los artículos 91, 93 y 142 del </w:t>
      </w:r>
      <w:proofErr w:type="spellStart"/>
      <w:r>
        <w:t>codigo</w:t>
      </w:r>
      <w:proofErr w:type="spellEnd"/>
      <w:r>
        <w:t xml:space="preserve"> civil. </w:t>
      </w:r>
    </w:p>
    <w:p w14:paraId="2058F20B" w14:textId="77777777" w:rsidR="00A72F59" w:rsidRDefault="005560B8">
      <w:pPr>
        <w:jc w:val="both"/>
        <w:divId w:val="1116757176"/>
        <w:rPr>
          <w:rFonts w:eastAsia="Times New Roman"/>
        </w:rPr>
      </w:pPr>
      <w:r>
        <w:rPr>
          <w:rFonts w:eastAsia="Times New Roman"/>
        </w:rPr>
        <w:t xml:space="preserve">La </w:t>
      </w:r>
      <w:proofErr w:type="spellStart"/>
      <w:r>
        <w:rPr>
          <w:rFonts w:eastAsia="Times New Roman"/>
          <w:b/>
          <w:bCs/>
        </w:rPr>
        <w:t>pension</w:t>
      </w:r>
      <w:proofErr w:type="spellEnd"/>
      <w:r>
        <w:rPr>
          <w:rFonts w:eastAsia="Times New Roman"/>
          <w:b/>
          <w:bCs/>
        </w:rPr>
        <w:t xml:space="preserve"> alimenticia</w:t>
      </w:r>
      <w:r>
        <w:rPr>
          <w:rFonts w:eastAsia="Times New Roman"/>
        </w:rPr>
        <w:t xml:space="preserve"> que se ha declarado extinguida se estableció en la sentencia modificada cuando la hija era menor. </w:t>
      </w:r>
    </w:p>
    <w:p w14:paraId="0F4A4DBE" w14:textId="77777777" w:rsidR="00A72F59" w:rsidRDefault="005560B8">
      <w:pPr>
        <w:pStyle w:val="NormalWeb"/>
        <w:jc w:val="both"/>
        <w:divId w:val="1116757176"/>
      </w:pPr>
      <w:r>
        <w:t xml:space="preserve">No existe la </w:t>
      </w:r>
      <w:proofErr w:type="spellStart"/>
      <w:r>
        <w:t>situacion</w:t>
      </w:r>
      <w:proofErr w:type="spellEnd"/>
      <w:r>
        <w:t xml:space="preserve"> de necesidad en el alimentista que es </w:t>
      </w:r>
      <w:proofErr w:type="gramStart"/>
      <w:r>
        <w:t>requisito imprescindible</w:t>
      </w:r>
      <w:proofErr w:type="gramEnd"/>
      <w:r>
        <w:t xml:space="preserve"> para el reconocimiento de la </w:t>
      </w:r>
      <w:proofErr w:type="spellStart"/>
      <w:r>
        <w:rPr>
          <w:b/>
          <w:bCs/>
        </w:rPr>
        <w:t>prestacion</w:t>
      </w:r>
      <w:proofErr w:type="spellEnd"/>
      <w:r>
        <w:rPr>
          <w:b/>
          <w:bCs/>
        </w:rPr>
        <w:t xml:space="preserve"> de alimentos</w:t>
      </w:r>
      <w:r>
        <w:t xml:space="preserve">. </w:t>
      </w:r>
    </w:p>
    <w:p w14:paraId="309518EA" w14:textId="77777777" w:rsidR="00A72F59" w:rsidRDefault="005560B8">
      <w:pPr>
        <w:jc w:val="both"/>
        <w:divId w:val="272784853"/>
        <w:rPr>
          <w:rFonts w:eastAsia="Times New Roman"/>
        </w:rPr>
      </w:pPr>
      <w:r>
        <w:rPr>
          <w:rFonts w:eastAsia="Times New Roman"/>
          <w:b/>
          <w:bCs/>
        </w:rPr>
        <w:t>Jurisdicción:</w:t>
      </w:r>
      <w:r>
        <w:rPr>
          <w:rFonts w:eastAsia="Times New Roman"/>
        </w:rPr>
        <w:t xml:space="preserve"> Civil </w:t>
      </w:r>
    </w:p>
    <w:p w14:paraId="62E986E6" w14:textId="045F3770" w:rsidR="00A72F59" w:rsidRDefault="005560B8">
      <w:pPr>
        <w:jc w:val="both"/>
        <w:divId w:val="1720124118"/>
        <w:rPr>
          <w:rFonts w:eastAsia="Times New Roman"/>
        </w:rPr>
      </w:pPr>
      <w:r>
        <w:rPr>
          <w:rFonts w:eastAsia="Times New Roman"/>
          <w:b/>
          <w:bCs/>
        </w:rPr>
        <w:t>Ponente:</w:t>
      </w:r>
      <w:r>
        <w:rPr>
          <w:rFonts w:eastAsia="Times New Roman"/>
        </w:rPr>
        <w:t xml:space="preserve"> </w:t>
      </w:r>
      <w:hyperlink r:id="rId7" w:tooltip="Buscar jurisprudencia para el ponente" w:history="1">
        <w:r>
          <w:rPr>
            <w:rStyle w:val="Hipervnculo"/>
            <w:rFonts w:eastAsia="Times New Roman"/>
          </w:rPr>
          <w:t>Francisco Salinero Román</w:t>
        </w:r>
      </w:hyperlink>
      <w:r>
        <w:rPr>
          <w:rFonts w:eastAsia="Times New Roman"/>
        </w:rPr>
        <w:t xml:space="preserve"> </w:t>
      </w:r>
    </w:p>
    <w:p w14:paraId="33E900BE" w14:textId="77777777" w:rsidR="00A72F59" w:rsidRDefault="005560B8">
      <w:pPr>
        <w:jc w:val="both"/>
        <w:divId w:val="1592272707"/>
        <w:rPr>
          <w:rFonts w:eastAsia="Times New Roman"/>
        </w:rPr>
      </w:pPr>
      <w:r>
        <w:rPr>
          <w:rFonts w:eastAsia="Times New Roman"/>
          <w:b/>
          <w:bCs/>
        </w:rPr>
        <w:t>Origen:</w:t>
      </w:r>
      <w:r>
        <w:rPr>
          <w:rFonts w:eastAsia="Times New Roman"/>
        </w:rPr>
        <w:t xml:space="preserve"> Audiencia Provincial de Valladolid </w:t>
      </w:r>
    </w:p>
    <w:p w14:paraId="0CCE550A" w14:textId="77777777" w:rsidR="00A72F59" w:rsidRDefault="005560B8">
      <w:pPr>
        <w:jc w:val="both"/>
        <w:divId w:val="1346054012"/>
        <w:rPr>
          <w:rFonts w:eastAsia="Times New Roman"/>
        </w:rPr>
      </w:pPr>
      <w:r>
        <w:rPr>
          <w:rFonts w:eastAsia="Times New Roman"/>
          <w:b/>
          <w:bCs/>
        </w:rPr>
        <w:t>Fecha:</w:t>
      </w:r>
      <w:r>
        <w:rPr>
          <w:rFonts w:eastAsia="Times New Roman"/>
        </w:rPr>
        <w:t xml:space="preserve"> 29/09/2021 </w:t>
      </w:r>
    </w:p>
    <w:p w14:paraId="62A11634" w14:textId="77777777" w:rsidR="00A72F59" w:rsidRDefault="005560B8">
      <w:pPr>
        <w:jc w:val="both"/>
        <w:divId w:val="1666014927"/>
        <w:rPr>
          <w:rFonts w:eastAsia="Times New Roman"/>
        </w:rPr>
      </w:pPr>
      <w:r>
        <w:rPr>
          <w:rFonts w:eastAsia="Times New Roman"/>
          <w:b/>
          <w:bCs/>
        </w:rPr>
        <w:t>Tipo resolución:</w:t>
      </w:r>
      <w:r>
        <w:rPr>
          <w:rFonts w:eastAsia="Times New Roman"/>
        </w:rPr>
        <w:t xml:space="preserve"> Sentencia </w:t>
      </w:r>
    </w:p>
    <w:p w14:paraId="58DDC439" w14:textId="77777777" w:rsidR="00A72F59" w:rsidRDefault="005560B8">
      <w:pPr>
        <w:jc w:val="both"/>
        <w:divId w:val="1351024721"/>
        <w:rPr>
          <w:rFonts w:eastAsia="Times New Roman"/>
        </w:rPr>
      </w:pPr>
      <w:r>
        <w:rPr>
          <w:rFonts w:eastAsia="Times New Roman"/>
          <w:b/>
          <w:bCs/>
        </w:rPr>
        <w:t>Sección:</w:t>
      </w:r>
      <w:r>
        <w:rPr>
          <w:rFonts w:eastAsia="Times New Roman"/>
        </w:rPr>
        <w:t xml:space="preserve"> Primera </w:t>
      </w:r>
    </w:p>
    <w:p w14:paraId="4EBD97CC" w14:textId="77777777" w:rsidR="00A72F59" w:rsidRDefault="005560B8">
      <w:pPr>
        <w:jc w:val="both"/>
        <w:divId w:val="623077466"/>
        <w:rPr>
          <w:rFonts w:eastAsia="Times New Roman"/>
        </w:rPr>
      </w:pPr>
      <w:r>
        <w:rPr>
          <w:rFonts w:eastAsia="Times New Roman"/>
          <w:b/>
          <w:bCs/>
        </w:rPr>
        <w:t>Número Sentencia:</w:t>
      </w:r>
      <w:r>
        <w:rPr>
          <w:rFonts w:eastAsia="Times New Roman"/>
        </w:rPr>
        <w:t xml:space="preserve"> 361/2021 </w:t>
      </w:r>
    </w:p>
    <w:p w14:paraId="5A7545D3" w14:textId="77777777" w:rsidR="00A72F59" w:rsidRDefault="005560B8">
      <w:pPr>
        <w:jc w:val="both"/>
        <w:divId w:val="1968852432"/>
        <w:rPr>
          <w:rFonts w:eastAsia="Times New Roman"/>
        </w:rPr>
      </w:pPr>
      <w:r>
        <w:rPr>
          <w:rFonts w:eastAsia="Times New Roman"/>
          <w:b/>
          <w:bCs/>
        </w:rPr>
        <w:t>Número Recurso:</w:t>
      </w:r>
      <w:r>
        <w:rPr>
          <w:rFonts w:eastAsia="Times New Roman"/>
        </w:rPr>
        <w:t xml:space="preserve"> 251/2021 </w:t>
      </w:r>
    </w:p>
    <w:p w14:paraId="60048BE3" w14:textId="77777777" w:rsidR="00A72F59" w:rsidRDefault="005560B8">
      <w:pPr>
        <w:jc w:val="both"/>
        <w:divId w:val="1225095558"/>
        <w:rPr>
          <w:rFonts w:eastAsia="Times New Roman"/>
        </w:rPr>
      </w:pPr>
      <w:proofErr w:type="spellStart"/>
      <w:r>
        <w:rPr>
          <w:rFonts w:eastAsia="Times New Roman"/>
          <w:b/>
          <w:bCs/>
        </w:rPr>
        <w:t>Numroj</w:t>
      </w:r>
      <w:proofErr w:type="spellEnd"/>
      <w:r>
        <w:rPr>
          <w:rFonts w:eastAsia="Times New Roman"/>
          <w:b/>
          <w:bCs/>
        </w:rPr>
        <w:t>:</w:t>
      </w:r>
      <w:r>
        <w:rPr>
          <w:rFonts w:eastAsia="Times New Roman"/>
        </w:rPr>
        <w:t xml:space="preserve"> SAP VA 1425/2021 </w:t>
      </w:r>
    </w:p>
    <w:p w14:paraId="2977744F" w14:textId="77777777" w:rsidR="00A72F59" w:rsidRDefault="005560B8">
      <w:pPr>
        <w:jc w:val="both"/>
        <w:divId w:val="784731698"/>
        <w:rPr>
          <w:rFonts w:eastAsia="Times New Roman"/>
        </w:rPr>
      </w:pPr>
      <w:proofErr w:type="spellStart"/>
      <w:r>
        <w:rPr>
          <w:rFonts w:eastAsia="Times New Roman"/>
          <w:b/>
          <w:bCs/>
        </w:rPr>
        <w:t>Ecli</w:t>
      </w:r>
      <w:proofErr w:type="spellEnd"/>
      <w:r>
        <w:rPr>
          <w:rFonts w:eastAsia="Times New Roman"/>
          <w:b/>
          <w:bCs/>
        </w:rPr>
        <w:t>:</w:t>
      </w:r>
      <w:r>
        <w:rPr>
          <w:rFonts w:eastAsia="Times New Roman"/>
        </w:rPr>
        <w:t xml:space="preserve"> </w:t>
      </w:r>
      <w:proofErr w:type="gramStart"/>
      <w:r>
        <w:rPr>
          <w:rFonts w:eastAsia="Times New Roman"/>
        </w:rPr>
        <w:t>ES:APVA</w:t>
      </w:r>
      <w:proofErr w:type="gramEnd"/>
      <w:r>
        <w:rPr>
          <w:rFonts w:eastAsia="Times New Roman"/>
        </w:rPr>
        <w:t xml:space="preserve">:2021:1425 </w:t>
      </w:r>
    </w:p>
    <w:p w14:paraId="66B5C34D" w14:textId="77777777" w:rsidR="00A72F59" w:rsidRDefault="005560B8">
      <w:pPr>
        <w:spacing w:after="240"/>
        <w:jc w:val="both"/>
        <w:rPr>
          <w:rFonts w:eastAsia="Times New Roman"/>
        </w:rPr>
      </w:pPr>
      <w:r>
        <w:rPr>
          <w:rFonts w:eastAsia="Times New Roman"/>
        </w:rPr>
        <w:br/>
      </w:r>
    </w:p>
    <w:p w14:paraId="6612618C" w14:textId="77777777" w:rsidR="00A72F59" w:rsidRDefault="005560B8">
      <w:pPr>
        <w:pStyle w:val="NormalWeb"/>
        <w:jc w:val="both"/>
      </w:pPr>
      <w:r>
        <w:rPr>
          <w:b/>
          <w:bCs/>
        </w:rPr>
        <w:t>ENCABEZAMIENTO:</w:t>
      </w:r>
      <w:r>
        <w:t xml:space="preserve"> </w:t>
      </w:r>
    </w:p>
    <w:p w14:paraId="6A352C5F" w14:textId="77777777" w:rsidR="00A72F59" w:rsidRDefault="005560B8">
      <w:pPr>
        <w:pStyle w:val="NormalWeb"/>
        <w:jc w:val="both"/>
      </w:pPr>
      <w:r>
        <w:t>AUD.PROVINCIAL SECCION N. 1</w:t>
      </w:r>
    </w:p>
    <w:p w14:paraId="14F423AA" w14:textId="77777777" w:rsidR="00A72F59" w:rsidRDefault="005560B8">
      <w:pPr>
        <w:jc w:val="both"/>
        <w:rPr>
          <w:rFonts w:eastAsia="Times New Roman"/>
        </w:rPr>
      </w:pPr>
      <w:r>
        <w:rPr>
          <w:rFonts w:eastAsia="Times New Roman"/>
        </w:rPr>
        <w:t>VALLADOLID</w:t>
      </w:r>
    </w:p>
    <w:p w14:paraId="7508DA7D" w14:textId="77777777" w:rsidR="00A72F59" w:rsidRDefault="005560B8">
      <w:pPr>
        <w:pStyle w:val="NormalWeb"/>
        <w:jc w:val="both"/>
      </w:pPr>
      <w:r>
        <w:t>SENTENCIA: 00361/2021</w:t>
      </w:r>
    </w:p>
    <w:p w14:paraId="6FB2F447" w14:textId="77777777" w:rsidR="00A72F59" w:rsidRDefault="005560B8">
      <w:pPr>
        <w:jc w:val="both"/>
        <w:rPr>
          <w:rFonts w:eastAsia="Times New Roman"/>
        </w:rPr>
      </w:pPr>
      <w:r>
        <w:rPr>
          <w:rFonts w:eastAsia="Times New Roman"/>
        </w:rPr>
        <w:lastRenderedPageBreak/>
        <w:t>Modelo: N10250</w:t>
      </w:r>
    </w:p>
    <w:p w14:paraId="3F524633" w14:textId="77777777" w:rsidR="00A72F59" w:rsidRDefault="005560B8">
      <w:pPr>
        <w:pStyle w:val="NormalWeb"/>
        <w:jc w:val="both"/>
      </w:pPr>
      <w:r>
        <w:t>C.ANGUSTIAS 21</w:t>
      </w:r>
    </w:p>
    <w:p w14:paraId="525BD67D" w14:textId="77777777" w:rsidR="00A72F59" w:rsidRDefault="005560B8">
      <w:pPr>
        <w:jc w:val="both"/>
        <w:rPr>
          <w:rFonts w:eastAsia="Times New Roman"/>
        </w:rPr>
      </w:pPr>
      <w:r>
        <w:rPr>
          <w:rFonts w:eastAsia="Times New Roman"/>
        </w:rPr>
        <w:t>Teléfono: 983.413486 Fax: 983413482/983458513</w:t>
      </w:r>
    </w:p>
    <w:p w14:paraId="28404996" w14:textId="77777777" w:rsidR="00A72F59" w:rsidRDefault="005560B8">
      <w:pPr>
        <w:pStyle w:val="NormalWeb"/>
        <w:jc w:val="both"/>
      </w:pPr>
      <w:r>
        <w:t>Correo electrónico:</w:t>
      </w:r>
    </w:p>
    <w:p w14:paraId="4553C09B" w14:textId="77777777" w:rsidR="00A72F59" w:rsidRDefault="005560B8">
      <w:pPr>
        <w:jc w:val="both"/>
        <w:rPr>
          <w:rFonts w:eastAsia="Times New Roman"/>
        </w:rPr>
      </w:pPr>
      <w:r>
        <w:rPr>
          <w:rFonts w:eastAsia="Times New Roman"/>
        </w:rPr>
        <w:t>Equipo/usuario: MPD</w:t>
      </w:r>
    </w:p>
    <w:p w14:paraId="3910CE3B" w14:textId="77777777" w:rsidR="00A72F59" w:rsidRDefault="005560B8">
      <w:pPr>
        <w:pStyle w:val="NormalWeb"/>
        <w:jc w:val="both"/>
      </w:pPr>
      <w:r>
        <w:t>N.I.G. 47186 48 2 2007 0150513</w:t>
      </w:r>
    </w:p>
    <w:p w14:paraId="54C471B1" w14:textId="77777777" w:rsidR="00A72F59" w:rsidRDefault="005560B8">
      <w:pPr>
        <w:jc w:val="both"/>
        <w:rPr>
          <w:rFonts w:eastAsia="Times New Roman"/>
        </w:rPr>
      </w:pPr>
      <w:r>
        <w:rPr>
          <w:rFonts w:eastAsia="Times New Roman"/>
        </w:rPr>
        <w:t>ROLLO: RPL RECURSO DE APELACION (LECN) 0000251 /2021</w:t>
      </w:r>
    </w:p>
    <w:p w14:paraId="0F4A7F5A" w14:textId="77777777" w:rsidR="00A72F59" w:rsidRDefault="005560B8">
      <w:pPr>
        <w:pStyle w:val="NormalWeb"/>
        <w:jc w:val="both"/>
      </w:pPr>
      <w:r>
        <w:t xml:space="preserve">Juzgado de procedencia: JDO. </w:t>
      </w:r>
      <w:r w:rsidRPr="00DC05ED">
        <w:rPr>
          <w:highlight w:val="red"/>
        </w:rPr>
        <w:t>PRIMERA INSTANCIA N. 3 de VALLADOLID</w:t>
      </w:r>
    </w:p>
    <w:p w14:paraId="38045053" w14:textId="77777777" w:rsidR="00A72F59" w:rsidRDefault="005560B8">
      <w:pPr>
        <w:jc w:val="both"/>
        <w:rPr>
          <w:rFonts w:eastAsia="Times New Roman"/>
        </w:rPr>
      </w:pPr>
      <w:r>
        <w:rPr>
          <w:rFonts w:eastAsia="Times New Roman"/>
        </w:rPr>
        <w:t>Procedimiento de origen: MMC MODIFICACION DE MEDIDAS SUPUESTO CONTENCIOSO 0000741 /2020</w:t>
      </w:r>
    </w:p>
    <w:p w14:paraId="188A5593" w14:textId="77777777" w:rsidR="00A72F59" w:rsidRDefault="005560B8">
      <w:pPr>
        <w:pStyle w:val="NormalWeb"/>
        <w:jc w:val="both"/>
      </w:pPr>
      <w:r>
        <w:t>Recurrente: Asunción</w:t>
      </w:r>
    </w:p>
    <w:p w14:paraId="0E019E94" w14:textId="77777777" w:rsidR="00A72F59" w:rsidRDefault="005560B8">
      <w:pPr>
        <w:jc w:val="both"/>
        <w:rPr>
          <w:rFonts w:eastAsia="Times New Roman"/>
        </w:rPr>
      </w:pPr>
      <w:r>
        <w:rPr>
          <w:rFonts w:eastAsia="Times New Roman"/>
        </w:rPr>
        <w:t>Procurador: MARIA SARA RODRIGUEZ VALBUENO</w:t>
      </w:r>
    </w:p>
    <w:p w14:paraId="6F2D53C0" w14:textId="77777777" w:rsidR="00A72F59" w:rsidRDefault="005560B8">
      <w:pPr>
        <w:pStyle w:val="NormalWeb"/>
        <w:jc w:val="both"/>
      </w:pPr>
      <w:r>
        <w:t>Abogado: CARMEN ALICIA FERRERO GIL</w:t>
      </w:r>
    </w:p>
    <w:p w14:paraId="38F2F199" w14:textId="77777777" w:rsidR="00A72F59" w:rsidRDefault="005560B8">
      <w:pPr>
        <w:jc w:val="both"/>
        <w:rPr>
          <w:rFonts w:eastAsia="Times New Roman"/>
        </w:rPr>
      </w:pPr>
      <w:r>
        <w:rPr>
          <w:rFonts w:eastAsia="Times New Roman"/>
        </w:rPr>
        <w:t>Recurrido: Ángel</w:t>
      </w:r>
    </w:p>
    <w:p w14:paraId="5B2B565E" w14:textId="77777777" w:rsidR="00A72F59" w:rsidRDefault="005560B8">
      <w:pPr>
        <w:pStyle w:val="NormalWeb"/>
        <w:jc w:val="both"/>
      </w:pPr>
      <w:r>
        <w:t>Procurador: MARIA CONSUELO VERDUGO REGIDOR</w:t>
      </w:r>
    </w:p>
    <w:p w14:paraId="289D418C" w14:textId="77777777" w:rsidR="00A72F59" w:rsidRDefault="005560B8">
      <w:pPr>
        <w:jc w:val="both"/>
        <w:rPr>
          <w:rFonts w:eastAsia="Times New Roman"/>
        </w:rPr>
      </w:pPr>
      <w:r>
        <w:rPr>
          <w:rFonts w:eastAsia="Times New Roman"/>
        </w:rPr>
        <w:t>Abogado: ENRIQUE CEBRIAN PATIN</w:t>
      </w:r>
    </w:p>
    <w:p w14:paraId="33E852D4" w14:textId="77777777" w:rsidR="00A72F59" w:rsidRDefault="005560B8">
      <w:pPr>
        <w:pStyle w:val="NormalWeb"/>
        <w:jc w:val="both"/>
      </w:pPr>
      <w:r>
        <w:t>SENTENCIA núm. 361/2021</w:t>
      </w:r>
    </w:p>
    <w:p w14:paraId="72BE66FB" w14:textId="77777777" w:rsidR="00A72F59" w:rsidRDefault="005560B8">
      <w:pPr>
        <w:jc w:val="both"/>
        <w:rPr>
          <w:rFonts w:eastAsia="Times New Roman"/>
        </w:rPr>
      </w:pPr>
      <w:proofErr w:type="spellStart"/>
      <w:r>
        <w:rPr>
          <w:rFonts w:eastAsia="Times New Roman"/>
        </w:rPr>
        <w:t>Ilmos</w:t>
      </w:r>
      <w:proofErr w:type="spellEnd"/>
      <w:r>
        <w:rPr>
          <w:rFonts w:eastAsia="Times New Roman"/>
        </w:rPr>
        <w:t>. Sres. MAGISTRADOS:</w:t>
      </w:r>
    </w:p>
    <w:p w14:paraId="0D818E78" w14:textId="77777777" w:rsidR="00A72F59" w:rsidRDefault="005560B8">
      <w:pPr>
        <w:pStyle w:val="NormalWeb"/>
        <w:jc w:val="both"/>
      </w:pPr>
      <w:r>
        <w:t>D. FRANCISCO-JAVIER CARRANZA CANTERA</w:t>
      </w:r>
    </w:p>
    <w:p w14:paraId="3E4338A2" w14:textId="77777777" w:rsidR="00A72F59" w:rsidRDefault="005560B8">
      <w:pPr>
        <w:jc w:val="both"/>
        <w:rPr>
          <w:rFonts w:eastAsia="Times New Roman"/>
        </w:rPr>
      </w:pPr>
      <w:r>
        <w:rPr>
          <w:rFonts w:eastAsia="Times New Roman"/>
        </w:rPr>
        <w:t>D. FRANCISCO SALINERO ROMÁN</w:t>
      </w:r>
    </w:p>
    <w:p w14:paraId="33E06AAE" w14:textId="77777777" w:rsidR="00A72F59" w:rsidRDefault="005560B8">
      <w:pPr>
        <w:pStyle w:val="NormalWeb"/>
        <w:jc w:val="both"/>
      </w:pPr>
      <w:r>
        <w:t>D. JOSÉ-RAMÓN ALONSO-MAÑERO PARDAL</w:t>
      </w:r>
    </w:p>
    <w:p w14:paraId="43696828" w14:textId="77777777" w:rsidR="00A72F59" w:rsidRDefault="005560B8">
      <w:pPr>
        <w:jc w:val="both"/>
        <w:rPr>
          <w:rFonts w:eastAsia="Times New Roman"/>
        </w:rPr>
      </w:pPr>
      <w:r w:rsidRPr="00DC05ED">
        <w:rPr>
          <w:rFonts w:eastAsia="Times New Roman"/>
          <w:highlight w:val="magenta"/>
        </w:rPr>
        <w:t>En VALLADOLID, a veintinueve de septiembre de dos mil veintiuno.</w:t>
      </w:r>
    </w:p>
    <w:p w14:paraId="3DCDA34B" w14:textId="77777777" w:rsidR="00A72F59" w:rsidRDefault="005560B8">
      <w:pPr>
        <w:pStyle w:val="NormalWeb"/>
        <w:jc w:val="both"/>
      </w:pPr>
      <w:r>
        <w:t>VISTOS por esta Sección Primera de la Ilma. Audiencia Provincial de Valladolid, en grado de apelación, los autos</w:t>
      </w:r>
    </w:p>
    <w:p w14:paraId="14FE4925" w14:textId="77777777" w:rsidR="00A72F59" w:rsidRDefault="005560B8">
      <w:pPr>
        <w:jc w:val="both"/>
        <w:rPr>
          <w:rFonts w:eastAsia="Times New Roman"/>
        </w:rPr>
      </w:pPr>
      <w:r>
        <w:rPr>
          <w:rFonts w:eastAsia="Times New Roman"/>
        </w:rPr>
        <w:lastRenderedPageBreak/>
        <w:t>de MODIFICACIÓN DE MEDIDAS SUPUESTO CONTENCIOSO núm. 741/2020 del Juzgado de Primera Instancia</w:t>
      </w:r>
    </w:p>
    <w:p w14:paraId="7A48BC32" w14:textId="77777777" w:rsidR="00A72F59" w:rsidRDefault="005560B8">
      <w:pPr>
        <w:pStyle w:val="NormalWeb"/>
        <w:jc w:val="both"/>
      </w:pPr>
      <w:r>
        <w:t xml:space="preserve">núm. 3 de Valladolid, seguido entre partes, de una, como DEMANDANTE-APELADA, D. </w:t>
      </w:r>
      <w:proofErr w:type="gramStart"/>
      <w:r>
        <w:t>Ángel ,</w:t>
      </w:r>
      <w:proofErr w:type="gramEnd"/>
      <w:r>
        <w:t xml:space="preserve"> representado</w:t>
      </w:r>
    </w:p>
    <w:p w14:paraId="5368CD5D" w14:textId="77777777" w:rsidR="00A72F59" w:rsidRDefault="005560B8">
      <w:pPr>
        <w:jc w:val="both"/>
        <w:rPr>
          <w:rFonts w:eastAsia="Times New Roman"/>
        </w:rPr>
      </w:pPr>
      <w:r>
        <w:rPr>
          <w:rFonts w:eastAsia="Times New Roman"/>
        </w:rPr>
        <w:t>por la Procuradora Dª Mª Consuelo Verdugo Regidor y defendido por el Letrado D. Enrique Cebrián Patín; y de</w:t>
      </w:r>
    </w:p>
    <w:p w14:paraId="769B44B8" w14:textId="77777777" w:rsidR="00A72F59" w:rsidRDefault="005560B8">
      <w:pPr>
        <w:jc w:val="both"/>
        <w:rPr>
          <w:rFonts w:eastAsia="Times New Roman"/>
        </w:rPr>
      </w:pPr>
      <w:r>
        <w:rPr>
          <w:rFonts w:eastAsia="Times New Roman"/>
        </w:rPr>
        <w:t xml:space="preserve">otra, como DEMANDADA-APELANTE, Dª </w:t>
      </w:r>
      <w:proofErr w:type="gramStart"/>
      <w:r>
        <w:rPr>
          <w:rFonts w:eastAsia="Times New Roman"/>
        </w:rPr>
        <w:t>Asunción ,</w:t>
      </w:r>
      <w:proofErr w:type="gramEnd"/>
      <w:r>
        <w:rPr>
          <w:rFonts w:eastAsia="Times New Roman"/>
        </w:rPr>
        <w:t xml:space="preserve"> representada por la Procuradora Dª Mª Sara Rodríguez</w:t>
      </w:r>
    </w:p>
    <w:p w14:paraId="3DA8422D" w14:textId="77777777" w:rsidR="00A72F59" w:rsidRDefault="005560B8">
      <w:pPr>
        <w:pStyle w:val="NormalWeb"/>
        <w:jc w:val="both"/>
      </w:pPr>
      <w:proofErr w:type="spellStart"/>
      <w:r>
        <w:t>Valbueno</w:t>
      </w:r>
      <w:proofErr w:type="spellEnd"/>
      <w:r>
        <w:t xml:space="preserve"> y defendida por la Letrada Dª Carmen-Alicia Ferrero Gil.</w:t>
      </w:r>
    </w:p>
    <w:p w14:paraId="7AFF9195" w14:textId="77777777" w:rsidR="00A72F59" w:rsidRDefault="005560B8">
      <w:pPr>
        <w:pStyle w:val="NormalWeb"/>
        <w:jc w:val="both"/>
      </w:pPr>
      <w:r>
        <w:rPr>
          <w:b/>
          <w:bCs/>
        </w:rPr>
        <w:t>ANTECEDENTES DE HECHO:</w:t>
      </w:r>
      <w:r>
        <w:t xml:space="preserve"> </w:t>
      </w:r>
    </w:p>
    <w:p w14:paraId="39810E25" w14:textId="77777777" w:rsidR="00A72F59" w:rsidRDefault="005560B8">
      <w:pPr>
        <w:jc w:val="both"/>
        <w:rPr>
          <w:rFonts w:eastAsia="Times New Roman"/>
        </w:rPr>
      </w:pPr>
      <w:proofErr w:type="gramStart"/>
      <w:r>
        <w:rPr>
          <w:rFonts w:eastAsia="Times New Roman"/>
        </w:rPr>
        <w:t>PRIMERO.-</w:t>
      </w:r>
      <w:proofErr w:type="gramEnd"/>
      <w:r>
        <w:rPr>
          <w:rFonts w:eastAsia="Times New Roman"/>
        </w:rPr>
        <w:t xml:space="preserve"> Se aceptan los antecedentes de hecho de la resolución recurrida.</w:t>
      </w:r>
    </w:p>
    <w:p w14:paraId="27087596" w14:textId="77777777" w:rsidR="00A72F59" w:rsidRPr="00DC05ED" w:rsidRDefault="005560B8">
      <w:pPr>
        <w:jc w:val="both"/>
        <w:rPr>
          <w:rFonts w:eastAsia="Times New Roman"/>
          <w:b/>
          <w:bCs/>
          <w:u w:val="single"/>
        </w:rPr>
      </w:pPr>
      <w:r>
        <w:rPr>
          <w:rFonts w:eastAsia="Times New Roman"/>
        </w:rPr>
        <w:t xml:space="preserve">SEGUNDO.- Seguido el litigio en cuestión por sus trámites legales ante el Juzgado de </w:t>
      </w:r>
      <w:r w:rsidRPr="00DC05ED">
        <w:rPr>
          <w:rFonts w:eastAsia="Times New Roman"/>
          <w:highlight w:val="magenta"/>
        </w:rPr>
        <w:t>Primera Instancia de referencia, con fecha 08/04/2021, se dictó sentencia cuyo fallo dice así:</w:t>
      </w:r>
      <w:r>
        <w:rPr>
          <w:rFonts w:eastAsia="Times New Roman"/>
        </w:rPr>
        <w:t xml:space="preserve"> "Se </w:t>
      </w:r>
      <w:r w:rsidRPr="00DC05ED">
        <w:rPr>
          <w:rFonts w:eastAsia="Times New Roman"/>
          <w:highlight w:val="green"/>
        </w:rPr>
        <w:t>estima la demanda de modificación de medidas</w:t>
      </w:r>
      <w:r>
        <w:rPr>
          <w:rFonts w:eastAsia="Times New Roman"/>
        </w:rPr>
        <w:t xml:space="preserve"> interpuesta por la procuradora Doña María Consuelo Verdugo Regidor, en nombre y representación de DON Ángel , frente a DOÑA Asunción , a</w:t>
      </w:r>
      <w:r w:rsidRPr="00DC05ED">
        <w:rPr>
          <w:rFonts w:eastAsia="Times New Roman"/>
          <w:highlight w:val="green"/>
        </w:rPr>
        <w:t>cordando modificar la medida relativa a la pensión de establecida en la</w:t>
      </w:r>
      <w:r>
        <w:rPr>
          <w:rFonts w:eastAsia="Times New Roman"/>
        </w:rPr>
        <w:t xml:space="preserve"> sentencia de divorcio de fecha 20 de julio de 2007,dictada por este Juzgado en los autos de divorcio </w:t>
      </w:r>
      <w:proofErr w:type="spellStart"/>
      <w:r>
        <w:rPr>
          <w:rFonts w:eastAsia="Times New Roman"/>
        </w:rPr>
        <w:t>nº</w:t>
      </w:r>
      <w:proofErr w:type="spellEnd"/>
      <w:r>
        <w:rPr>
          <w:rFonts w:eastAsia="Times New Roman"/>
        </w:rPr>
        <w:t xml:space="preserve"> 33/2007, quedando establecida de la siguiente forma: -</w:t>
      </w:r>
      <w:r w:rsidRPr="00DC05ED">
        <w:rPr>
          <w:rFonts w:eastAsia="Times New Roman"/>
          <w:highlight w:val="yellow"/>
        </w:rPr>
        <w:t xml:space="preserve">Se acuerda la extinción de la pensión de alimentos de Irene , </w:t>
      </w:r>
      <w:r w:rsidRPr="00DC05ED">
        <w:rPr>
          <w:rFonts w:eastAsia="Times New Roman"/>
          <w:b/>
          <w:bCs/>
          <w:highlight w:val="red"/>
          <w:u w:val="single"/>
        </w:rPr>
        <w:t>desde la fecha de esta resolución.</w:t>
      </w:r>
    </w:p>
    <w:p w14:paraId="0A93D4A9" w14:textId="77777777" w:rsidR="00A72F59" w:rsidRDefault="005560B8">
      <w:pPr>
        <w:jc w:val="both"/>
        <w:rPr>
          <w:rFonts w:eastAsia="Times New Roman"/>
        </w:rPr>
      </w:pPr>
      <w:r>
        <w:rPr>
          <w:rFonts w:eastAsia="Times New Roman"/>
        </w:rPr>
        <w:t xml:space="preserve">No se hace imposición de costas." </w:t>
      </w:r>
    </w:p>
    <w:p w14:paraId="645210B6" w14:textId="77777777" w:rsidR="00A72F59" w:rsidRDefault="005560B8">
      <w:pPr>
        <w:jc w:val="both"/>
        <w:rPr>
          <w:rFonts w:eastAsia="Times New Roman"/>
        </w:rPr>
      </w:pPr>
      <w:proofErr w:type="gramStart"/>
      <w:r>
        <w:rPr>
          <w:rFonts w:eastAsia="Times New Roman"/>
        </w:rPr>
        <w:t>TERCERO.-</w:t>
      </w:r>
      <w:proofErr w:type="gramEnd"/>
      <w:r>
        <w:rPr>
          <w:rFonts w:eastAsia="Times New Roman"/>
        </w:rPr>
        <w:t xml:space="preserve"> Notificada a las partes la referida sentencia, por la representación procesal de la parte demandada, se interpuso recurso de apelación dentro del término legal, alegando lo que estimó oportuno. Por la parte demandante se presentó escrito de oposición al recurso. Recibidos los autos en este Tribunal y personadas las partes, tras la tramitación correspondiente, se señaló para deliberación, votación y fallo el día 28/09/2021, en el que tuvo lugar lo acordado.</w:t>
      </w:r>
    </w:p>
    <w:p w14:paraId="3B581499" w14:textId="77777777" w:rsidR="00A72F59" w:rsidRDefault="005560B8">
      <w:pPr>
        <w:jc w:val="both"/>
        <w:rPr>
          <w:rFonts w:eastAsia="Times New Roman"/>
        </w:rPr>
      </w:pPr>
      <w:r>
        <w:rPr>
          <w:rFonts w:eastAsia="Times New Roman"/>
        </w:rPr>
        <w:t>Vistos, siendo Magistrado-Ponente, el Ilmo. Sr. D. FRANCISCO SALINERO ROMÁN.</w:t>
      </w:r>
    </w:p>
    <w:p w14:paraId="3D1AFC70" w14:textId="77777777" w:rsidR="00A72F59" w:rsidRDefault="005560B8">
      <w:pPr>
        <w:pStyle w:val="NormalWeb"/>
        <w:jc w:val="both"/>
      </w:pPr>
      <w:r>
        <w:rPr>
          <w:b/>
          <w:bCs/>
        </w:rPr>
        <w:t>FUNDAMENTOS DE DERECHO:</w:t>
      </w:r>
      <w:r>
        <w:t xml:space="preserve"> </w:t>
      </w:r>
    </w:p>
    <w:p w14:paraId="4F5319C5" w14:textId="77777777" w:rsidR="00A72F59" w:rsidRDefault="005560B8">
      <w:pPr>
        <w:jc w:val="both"/>
        <w:rPr>
          <w:rFonts w:eastAsia="Times New Roman"/>
        </w:rPr>
      </w:pPr>
      <w:proofErr w:type="gramStart"/>
      <w:r>
        <w:rPr>
          <w:rFonts w:eastAsia="Times New Roman"/>
        </w:rPr>
        <w:t>PRIMERO.-</w:t>
      </w:r>
      <w:proofErr w:type="gramEnd"/>
      <w:r>
        <w:rPr>
          <w:rFonts w:eastAsia="Times New Roman"/>
        </w:rPr>
        <w:t xml:space="preserve"> La parte apelante recurre la sentencia en el pronunciamiento que suprime la pensión alimenticia que le fue reconocida en su día a su hija Irene pues argumenta que se han interpretado erróneamente los arts. 91, 93 y 142 del Código Civil.</w:t>
      </w:r>
    </w:p>
    <w:p w14:paraId="4210868A" w14:textId="196BE42E" w:rsidR="00A72F59" w:rsidRDefault="005560B8">
      <w:pPr>
        <w:jc w:val="both"/>
        <w:rPr>
          <w:rFonts w:eastAsia="Times New Roman"/>
        </w:rPr>
      </w:pPr>
      <w:r>
        <w:rPr>
          <w:rFonts w:eastAsia="Times New Roman"/>
        </w:rPr>
        <w:t xml:space="preserve">El recurso se desestima pues la sentencia apelada es conforme a las circunstancias concurrentes en el supuesto examinado en relación con los preceptos citados. </w:t>
      </w:r>
      <w:r w:rsidRPr="00DC05ED">
        <w:rPr>
          <w:rFonts w:eastAsia="Times New Roman"/>
          <w:highlight w:val="green"/>
        </w:rPr>
        <w:t>La pensión alimenticia que se ha declarado extinguida se estableció en la sentencia modificada cuando la hija era meno</w:t>
      </w:r>
      <w:r>
        <w:rPr>
          <w:rFonts w:eastAsia="Times New Roman"/>
        </w:rPr>
        <w:t>r.</w:t>
      </w:r>
    </w:p>
    <w:p w14:paraId="5B1D7181" w14:textId="77777777" w:rsidR="00DC05ED" w:rsidRDefault="00DC05ED">
      <w:pPr>
        <w:jc w:val="both"/>
        <w:rPr>
          <w:rFonts w:eastAsia="Times New Roman"/>
        </w:rPr>
      </w:pPr>
    </w:p>
    <w:p w14:paraId="12E14528" w14:textId="77777777" w:rsidR="00DC05ED" w:rsidRDefault="005560B8">
      <w:pPr>
        <w:jc w:val="both"/>
        <w:rPr>
          <w:rFonts w:eastAsia="Times New Roman"/>
        </w:rPr>
      </w:pPr>
      <w:r>
        <w:rPr>
          <w:rFonts w:eastAsia="Times New Roman"/>
        </w:rPr>
        <w:t xml:space="preserve">La </w:t>
      </w:r>
      <w:r w:rsidRPr="00DC05ED">
        <w:rPr>
          <w:rFonts w:eastAsia="Times New Roman"/>
          <w:highlight w:val="cyan"/>
        </w:rPr>
        <w:t>hija ya tiene 23 años</w:t>
      </w:r>
      <w:r>
        <w:rPr>
          <w:rFonts w:eastAsia="Times New Roman"/>
        </w:rPr>
        <w:t xml:space="preserve"> </w:t>
      </w:r>
      <w:r w:rsidRPr="00DC05ED">
        <w:rPr>
          <w:rFonts w:eastAsia="Times New Roman"/>
          <w:highlight w:val="red"/>
        </w:rPr>
        <w:t>y</w:t>
      </w:r>
      <w:r>
        <w:rPr>
          <w:rFonts w:eastAsia="Times New Roman"/>
        </w:rPr>
        <w:t xml:space="preserve"> </w:t>
      </w:r>
      <w:r w:rsidRPr="00DC05ED">
        <w:rPr>
          <w:rFonts w:eastAsia="Times New Roman"/>
          <w:highlight w:val="cyan"/>
        </w:rPr>
        <w:t>trabaja de manera casi estable</w:t>
      </w:r>
      <w:r>
        <w:rPr>
          <w:rFonts w:eastAsia="Times New Roman"/>
        </w:rPr>
        <w:t xml:space="preserve"> tal como resulta de su hoja de vida laboral </w:t>
      </w:r>
      <w:r w:rsidRPr="00DC05ED">
        <w:rPr>
          <w:rFonts w:eastAsia="Times New Roman"/>
          <w:highlight w:val="cyan"/>
        </w:rPr>
        <w:t>desde el año 2017</w:t>
      </w:r>
      <w:r w:rsidRPr="00DC05ED">
        <w:rPr>
          <w:rFonts w:eastAsia="Times New Roman"/>
          <w:highlight w:val="yellow"/>
        </w:rPr>
        <w:t>. Continuadamente lo hace desde el mes de septiembre de 2020</w:t>
      </w:r>
      <w:r>
        <w:rPr>
          <w:rFonts w:eastAsia="Times New Roman"/>
        </w:rPr>
        <w:t>.</w:t>
      </w:r>
    </w:p>
    <w:p w14:paraId="55982F73" w14:textId="77777777" w:rsidR="00DC05ED" w:rsidRDefault="00DC05ED">
      <w:pPr>
        <w:jc w:val="both"/>
        <w:rPr>
          <w:rFonts w:eastAsia="Times New Roman"/>
        </w:rPr>
      </w:pPr>
    </w:p>
    <w:p w14:paraId="161CDD09" w14:textId="77777777" w:rsidR="00DC05ED" w:rsidRDefault="005560B8">
      <w:pPr>
        <w:jc w:val="both"/>
        <w:rPr>
          <w:rFonts w:eastAsia="Times New Roman"/>
        </w:rPr>
      </w:pPr>
      <w:r>
        <w:rPr>
          <w:rFonts w:eastAsia="Times New Roman"/>
        </w:rPr>
        <w:t xml:space="preserve"> Como bien razona la Juzgadora la propia hija reconoció trabajar desde que cumplió los 18 y </w:t>
      </w:r>
      <w:r w:rsidRPr="00DC05ED">
        <w:rPr>
          <w:rFonts w:eastAsia="Times New Roman"/>
          <w:highlight w:val="cyan"/>
        </w:rPr>
        <w:t>percibir en la actualidad unos 1.000</w:t>
      </w:r>
      <w:r>
        <w:rPr>
          <w:rFonts w:eastAsia="Times New Roman"/>
        </w:rPr>
        <w:t xml:space="preserve"> euros mensuales por un contrato a tiempo completo.</w:t>
      </w:r>
    </w:p>
    <w:p w14:paraId="15E97A86" w14:textId="77777777" w:rsidR="00DC05ED" w:rsidRDefault="00DC05ED">
      <w:pPr>
        <w:jc w:val="both"/>
        <w:rPr>
          <w:rFonts w:eastAsia="Times New Roman"/>
        </w:rPr>
      </w:pPr>
    </w:p>
    <w:p w14:paraId="0F062C29" w14:textId="5FB088F4" w:rsidR="00A72F59" w:rsidRDefault="005560B8">
      <w:pPr>
        <w:jc w:val="both"/>
        <w:rPr>
          <w:rFonts w:eastAsia="Times New Roman"/>
        </w:rPr>
      </w:pPr>
      <w:r>
        <w:rPr>
          <w:rFonts w:eastAsia="Times New Roman"/>
        </w:rPr>
        <w:t xml:space="preserve"> Por tanto, </w:t>
      </w:r>
      <w:r w:rsidRPr="00DC05ED">
        <w:rPr>
          <w:rFonts w:eastAsia="Times New Roman"/>
          <w:highlight w:val="green"/>
        </w:rPr>
        <w:t>no existe la situación de necesidad en el alimentista que es requisito</w:t>
      </w:r>
      <w:r>
        <w:rPr>
          <w:rFonts w:eastAsia="Times New Roman"/>
        </w:rPr>
        <w:t xml:space="preserve"> imprescindible para el reconocimiento de la prestación de alimentos </w:t>
      </w:r>
      <w:proofErr w:type="gramStart"/>
      <w:r>
        <w:rPr>
          <w:rFonts w:eastAsia="Times New Roman"/>
        </w:rPr>
        <w:t>( art.</w:t>
      </w:r>
      <w:proofErr w:type="gramEnd"/>
      <w:r>
        <w:rPr>
          <w:rFonts w:eastAsia="Times New Roman"/>
        </w:rPr>
        <w:t xml:space="preserve"> 146 y 152. 3 del Código Civil). No existiendo la necesidad no surge el crédito alimenticio del alimentista. Sin perjuicio de que si volviese a encontrarse en tal situación pudiese volverlos a reclamar.</w:t>
      </w:r>
    </w:p>
    <w:p w14:paraId="1282D0D6" w14:textId="77777777" w:rsidR="00DC05ED" w:rsidRDefault="00DC05ED">
      <w:pPr>
        <w:jc w:val="both"/>
        <w:rPr>
          <w:rFonts w:eastAsia="Times New Roman"/>
        </w:rPr>
      </w:pPr>
    </w:p>
    <w:p w14:paraId="7AD8D411" w14:textId="77777777" w:rsidR="00A72F59" w:rsidRDefault="005560B8">
      <w:pPr>
        <w:jc w:val="both"/>
        <w:rPr>
          <w:rFonts w:eastAsia="Times New Roman"/>
        </w:rPr>
      </w:pPr>
      <w:proofErr w:type="gramStart"/>
      <w:r>
        <w:rPr>
          <w:rFonts w:eastAsia="Times New Roman"/>
        </w:rPr>
        <w:t>SEGUNDO.-</w:t>
      </w:r>
      <w:proofErr w:type="gramEnd"/>
      <w:r>
        <w:rPr>
          <w:rFonts w:eastAsia="Times New Roman"/>
        </w:rPr>
        <w:t xml:space="preserve"> Al desestimarse el recurso de apelación interpuesto imponemos a la parte apelante las costas de esta alzada por disponerlo así el art. 398. 1 de la L.E. </w:t>
      </w:r>
      <w:proofErr w:type="gramStart"/>
      <w:r>
        <w:rPr>
          <w:rFonts w:eastAsia="Times New Roman"/>
        </w:rPr>
        <w:t>Civil .</w:t>
      </w:r>
      <w:proofErr w:type="gramEnd"/>
    </w:p>
    <w:p w14:paraId="6B4C92B3" w14:textId="77777777" w:rsidR="00A72F59" w:rsidRDefault="005560B8">
      <w:pPr>
        <w:jc w:val="both"/>
        <w:rPr>
          <w:rFonts w:eastAsia="Times New Roman"/>
        </w:rPr>
      </w:pPr>
      <w:r>
        <w:rPr>
          <w:rFonts w:eastAsia="Times New Roman"/>
        </w:rPr>
        <w:t xml:space="preserve">VISTOS los preceptos legales citados y demás de general y pertinente aplicación, </w:t>
      </w:r>
    </w:p>
    <w:p w14:paraId="73A4C70C" w14:textId="77777777" w:rsidR="00A72F59" w:rsidRDefault="005560B8">
      <w:pPr>
        <w:pStyle w:val="NormalWeb"/>
        <w:jc w:val="both"/>
      </w:pPr>
      <w:r>
        <w:rPr>
          <w:b/>
          <w:bCs/>
        </w:rPr>
        <w:t>FALLO:</w:t>
      </w:r>
      <w:r>
        <w:t xml:space="preserve"> </w:t>
      </w:r>
    </w:p>
    <w:p w14:paraId="13751877" w14:textId="77777777" w:rsidR="00A72F59" w:rsidRDefault="005560B8">
      <w:pPr>
        <w:pStyle w:val="NormalWeb"/>
        <w:jc w:val="both"/>
      </w:pPr>
      <w:r>
        <w:t>Que desestimando el recurso de apelación interpuesto a nombre de Doña Asunción contra la sentencia dictada por la Ilma. Sra. Magistrado del Juzgado de Primera Instancia núm. 3 de Valladolid en fecha 8 de abril de 2021 en los autos a que se refiere este rollo, debemos confirmar y confirmamos la aludida resolución con imposición a la parte apelante de las costas de esta alzada.</w:t>
      </w:r>
    </w:p>
    <w:p w14:paraId="0E383F83" w14:textId="77777777" w:rsidR="00A72F59" w:rsidRDefault="005560B8">
      <w:pPr>
        <w:pStyle w:val="NormalWeb"/>
        <w:jc w:val="both"/>
      </w:pPr>
      <w:r>
        <w:t>MODO DE IMPUGNACIÓN: contra esta resolución cabe, en su caso, interponer recurso de casación, ante esta sala, en el plazo de veinte días a contar desde el siguiente a su notificación.</w:t>
      </w:r>
    </w:p>
    <w:p w14:paraId="1EE9337F" w14:textId="77777777" w:rsidR="00A72F59" w:rsidRDefault="005560B8">
      <w:pPr>
        <w:pStyle w:val="NormalWeb"/>
        <w:jc w:val="both"/>
      </w:pPr>
      <w:r>
        <w:t>Conforme a la D.A. Decimoquinta de la L.O.P.J., para la admisión del recurso se deberá acreditar haber constituido, en la cuenta de depósitos y consignaciones de este órgano, un depósito de 50 euros, salvo que el recurrente sea: beneficiario de justicia gratuita, el Ministerio Fiscal, el Estado, Comunidad Autónoma, entidad local u organismo autónomo dependiente.</w:t>
      </w:r>
    </w:p>
    <w:p w14:paraId="73695DBC" w14:textId="77777777" w:rsidR="00A72F59" w:rsidRDefault="005560B8">
      <w:pPr>
        <w:pStyle w:val="NormalWeb"/>
        <w:jc w:val="both"/>
      </w:pPr>
      <w:r>
        <w:t>Así, por esta nuestra Sentencia, lo pronunciamos, mandamos y firmamos.</w:t>
      </w:r>
    </w:p>
    <w:p w14:paraId="2C3DE3E4" w14:textId="77777777" w:rsidR="00A72F59" w:rsidRDefault="005560B8">
      <w:pPr>
        <w:pStyle w:val="NormalWeb"/>
        <w:jc w:val="both"/>
      </w:pPr>
      <w:r>
        <w:t>La difusión del texto de esta resolución a partes no interesadas en el proceso en el que ha sido dictada sólo podrá llevarse a cabo previa disociación de los datos de carácter personal que los mismos contuvieran y con pleno respeto al derecho a la intimidad, a los derechos de las personas que requieran un especial deber de tutelar o a la garantía del anonimato de las víctimas o perjudicados, cuando proceda.</w:t>
      </w:r>
    </w:p>
    <w:p w14:paraId="5D5C7F90" w14:textId="77777777" w:rsidR="00A72F59" w:rsidRDefault="005560B8">
      <w:pPr>
        <w:pStyle w:val="NormalWeb"/>
        <w:jc w:val="both"/>
      </w:pPr>
      <w:r>
        <w:t>Los datos personales incluidos en esta resolución no podrán ser cedidos, ni comunicados con fines contrarios a las leyes.</w:t>
      </w:r>
    </w:p>
    <w:p w14:paraId="40969A11" w14:textId="77777777" w:rsidR="00A72F59" w:rsidRDefault="00A72F59">
      <w:pPr>
        <w:jc w:val="both"/>
        <w:rPr>
          <w:rFonts w:eastAsia="Times New Roman"/>
        </w:rPr>
      </w:pPr>
    </w:p>
    <w:p w14:paraId="6CA16773" w14:textId="77777777" w:rsidR="00A72F59" w:rsidRDefault="005560B8">
      <w:pPr>
        <w:jc w:val="both"/>
        <w:divId w:val="827289829"/>
        <w:rPr>
          <w:rFonts w:eastAsia="Times New Roman"/>
        </w:rPr>
      </w:pPr>
      <w:r>
        <w:rPr>
          <w:rFonts w:eastAsia="Times New Roman"/>
        </w:rPr>
        <w:t>El presente texto proviene del Centro de Documentación del Poder Judicial. Su contenido se corresponde íntegramente con el del CENDOJ.</w:t>
      </w:r>
    </w:p>
    <w:sectPr w:rsidR="00A72F5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FF48A" w14:textId="77777777" w:rsidR="00D13B7F" w:rsidRDefault="00D13B7F" w:rsidP="00D13B7F">
      <w:r>
        <w:separator/>
      </w:r>
    </w:p>
  </w:endnote>
  <w:endnote w:type="continuationSeparator" w:id="0">
    <w:p w14:paraId="506C2FA6" w14:textId="77777777" w:rsidR="00D13B7F" w:rsidRDefault="00D13B7F" w:rsidP="00D13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8765F" w14:textId="77777777" w:rsidR="00D13B7F" w:rsidRDefault="00D13B7F" w:rsidP="00D13B7F">
      <w:r>
        <w:separator/>
      </w:r>
    </w:p>
  </w:footnote>
  <w:footnote w:type="continuationSeparator" w:id="0">
    <w:p w14:paraId="6EFA9317" w14:textId="77777777" w:rsidR="00D13B7F" w:rsidRDefault="00D13B7F" w:rsidP="00D13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0FFA" w14:textId="47B9B42B" w:rsidR="00D13B7F" w:rsidRDefault="00D13B7F" w:rsidP="00D13B7F">
    <w:pPr>
      <w:pStyle w:val="Encabezado"/>
    </w:pPr>
    <w:r w:rsidRPr="00045A27">
      <w:rPr>
        <w:noProof/>
      </w:rPr>
      <w:drawing>
        <wp:inline distT="0" distB="0" distL="0" distR="0" wp14:anchorId="74929349" wp14:editId="36295241">
          <wp:extent cx="2078990" cy="554990"/>
          <wp:effectExtent l="0" t="0" r="0" b="0"/>
          <wp:docPr id="1" name="Imagen 1" descr="SafeAbogados_ima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eAbogados_ima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554990"/>
                  </a:xfrm>
                  <a:prstGeom prst="rect">
                    <a:avLst/>
                  </a:prstGeom>
                  <a:noFill/>
                  <a:ln>
                    <a:noFill/>
                  </a:ln>
                </pic:spPr>
              </pic:pic>
            </a:graphicData>
          </a:graphic>
        </wp:inline>
      </w:drawing>
    </w:r>
    <w:r>
      <w:t xml:space="preserve">                              Analizada por Jaime Sanz</w:t>
    </w:r>
  </w:p>
  <w:p w14:paraId="733389CD" w14:textId="24C2295E" w:rsidR="00D13B7F" w:rsidRDefault="00D13B7F">
    <w:pPr>
      <w:pStyle w:val="Encabezado"/>
    </w:pPr>
  </w:p>
  <w:p w14:paraId="3177EFD5" w14:textId="77777777" w:rsidR="00D13B7F" w:rsidRDefault="00D13B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0B8"/>
    <w:rsid w:val="005560B8"/>
    <w:rsid w:val="00A72F59"/>
    <w:rsid w:val="00B44272"/>
    <w:rsid w:val="00D13B7F"/>
    <w:rsid w:val="00DC0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2D17E"/>
  <w15:chartTrackingRefBased/>
  <w15:docId w15:val="{CB61B3FE-AAD8-4AB0-BC49-FE7A23904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ar"/>
    <w:uiPriority w:val="9"/>
    <w:qFormat/>
    <w:pPr>
      <w:spacing w:before="100" w:beforeAutospacing="1" w:after="100" w:afterAutospacing="1"/>
      <w:outlineLvl w:val="0"/>
    </w:pPr>
    <w:rPr>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pPr>
      <w:spacing w:before="100" w:beforeAutospacing="1" w:after="100" w:afterAutospacing="1"/>
    </w:pP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pPr>
      <w:spacing w:before="100" w:beforeAutospacing="1" w:after="100" w:afterAutospacing="1"/>
    </w:pPr>
  </w:style>
  <w:style w:type="character" w:styleId="Hipervnculo">
    <w:name w:val="Hyperlink"/>
    <w:basedOn w:val="Fuentedeprrafopredeter"/>
    <w:uiPriority w:val="99"/>
    <w:semiHidden/>
    <w:unhideWhenUsed/>
    <w:rPr>
      <w:color w:val="0000FF"/>
      <w:u w:val="single"/>
    </w:rPr>
  </w:style>
  <w:style w:type="character" w:styleId="Hipervnculovisitado">
    <w:name w:val="FollowedHyperlink"/>
    <w:basedOn w:val="Fuentedeprrafopredeter"/>
    <w:uiPriority w:val="99"/>
    <w:semiHidden/>
    <w:unhideWhenUsed/>
    <w:rPr>
      <w:color w:val="800080"/>
      <w:u w:val="single"/>
    </w:rPr>
  </w:style>
  <w:style w:type="paragraph" w:styleId="Encabezado">
    <w:name w:val="header"/>
    <w:basedOn w:val="Normal"/>
    <w:link w:val="EncabezadoCar"/>
    <w:uiPriority w:val="99"/>
    <w:unhideWhenUsed/>
    <w:rsid w:val="00D13B7F"/>
    <w:pPr>
      <w:tabs>
        <w:tab w:val="center" w:pos="4252"/>
        <w:tab w:val="right" w:pos="8504"/>
      </w:tabs>
    </w:pPr>
  </w:style>
  <w:style w:type="character" w:customStyle="1" w:styleId="EncabezadoCar">
    <w:name w:val="Encabezado Car"/>
    <w:basedOn w:val="Fuentedeprrafopredeter"/>
    <w:link w:val="Encabezado"/>
    <w:uiPriority w:val="99"/>
    <w:rsid w:val="00D13B7F"/>
    <w:rPr>
      <w:rFonts w:eastAsiaTheme="minorEastAsia"/>
      <w:sz w:val="24"/>
      <w:szCs w:val="24"/>
    </w:rPr>
  </w:style>
  <w:style w:type="paragraph" w:styleId="Piedepgina">
    <w:name w:val="footer"/>
    <w:basedOn w:val="Normal"/>
    <w:link w:val="PiedepginaCar"/>
    <w:uiPriority w:val="99"/>
    <w:unhideWhenUsed/>
    <w:rsid w:val="00D13B7F"/>
    <w:pPr>
      <w:tabs>
        <w:tab w:val="center" w:pos="4252"/>
        <w:tab w:val="right" w:pos="8504"/>
      </w:tabs>
    </w:pPr>
  </w:style>
  <w:style w:type="character" w:customStyle="1" w:styleId="PiedepginaCar">
    <w:name w:val="Pie de página Car"/>
    <w:basedOn w:val="Fuentedeprrafopredeter"/>
    <w:link w:val="Piedepgina"/>
    <w:uiPriority w:val="99"/>
    <w:rsid w:val="00D13B7F"/>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784853">
      <w:marLeft w:val="0"/>
      <w:marRight w:val="0"/>
      <w:marTop w:val="0"/>
      <w:marBottom w:val="0"/>
      <w:divBdr>
        <w:top w:val="none" w:sz="0" w:space="0" w:color="auto"/>
        <w:left w:val="none" w:sz="0" w:space="0" w:color="auto"/>
        <w:bottom w:val="none" w:sz="0" w:space="0" w:color="auto"/>
        <w:right w:val="none" w:sz="0" w:space="0" w:color="auto"/>
      </w:divBdr>
    </w:div>
    <w:div w:id="623077466">
      <w:marLeft w:val="0"/>
      <w:marRight w:val="0"/>
      <w:marTop w:val="0"/>
      <w:marBottom w:val="0"/>
      <w:divBdr>
        <w:top w:val="none" w:sz="0" w:space="0" w:color="auto"/>
        <w:left w:val="none" w:sz="0" w:space="0" w:color="auto"/>
        <w:bottom w:val="none" w:sz="0" w:space="0" w:color="auto"/>
        <w:right w:val="none" w:sz="0" w:space="0" w:color="auto"/>
      </w:divBdr>
    </w:div>
    <w:div w:id="784731698">
      <w:marLeft w:val="0"/>
      <w:marRight w:val="0"/>
      <w:marTop w:val="0"/>
      <w:marBottom w:val="0"/>
      <w:divBdr>
        <w:top w:val="none" w:sz="0" w:space="0" w:color="auto"/>
        <w:left w:val="none" w:sz="0" w:space="0" w:color="auto"/>
        <w:bottom w:val="none" w:sz="0" w:space="0" w:color="auto"/>
        <w:right w:val="none" w:sz="0" w:space="0" w:color="auto"/>
      </w:divBdr>
    </w:div>
    <w:div w:id="827289829">
      <w:marLeft w:val="0"/>
      <w:marRight w:val="0"/>
      <w:marTop w:val="0"/>
      <w:marBottom w:val="0"/>
      <w:divBdr>
        <w:top w:val="none" w:sz="0" w:space="0" w:color="auto"/>
        <w:left w:val="none" w:sz="0" w:space="0" w:color="auto"/>
        <w:bottom w:val="none" w:sz="0" w:space="0" w:color="auto"/>
        <w:right w:val="none" w:sz="0" w:space="0" w:color="auto"/>
      </w:divBdr>
    </w:div>
    <w:div w:id="1116757176">
      <w:marLeft w:val="0"/>
      <w:marRight w:val="0"/>
      <w:marTop w:val="0"/>
      <w:marBottom w:val="0"/>
      <w:divBdr>
        <w:top w:val="none" w:sz="0" w:space="0" w:color="auto"/>
        <w:left w:val="none" w:sz="0" w:space="0" w:color="auto"/>
        <w:bottom w:val="none" w:sz="0" w:space="0" w:color="auto"/>
        <w:right w:val="none" w:sz="0" w:space="0" w:color="auto"/>
      </w:divBdr>
    </w:div>
    <w:div w:id="1225095558">
      <w:marLeft w:val="0"/>
      <w:marRight w:val="0"/>
      <w:marTop w:val="0"/>
      <w:marBottom w:val="0"/>
      <w:divBdr>
        <w:top w:val="none" w:sz="0" w:space="0" w:color="auto"/>
        <w:left w:val="none" w:sz="0" w:space="0" w:color="auto"/>
        <w:bottom w:val="none" w:sz="0" w:space="0" w:color="auto"/>
        <w:right w:val="none" w:sz="0" w:space="0" w:color="auto"/>
      </w:divBdr>
    </w:div>
    <w:div w:id="1346054012">
      <w:marLeft w:val="0"/>
      <w:marRight w:val="0"/>
      <w:marTop w:val="0"/>
      <w:marBottom w:val="0"/>
      <w:divBdr>
        <w:top w:val="none" w:sz="0" w:space="0" w:color="auto"/>
        <w:left w:val="none" w:sz="0" w:space="0" w:color="auto"/>
        <w:bottom w:val="none" w:sz="0" w:space="0" w:color="auto"/>
        <w:right w:val="none" w:sz="0" w:space="0" w:color="auto"/>
      </w:divBdr>
    </w:div>
    <w:div w:id="1351024721">
      <w:marLeft w:val="0"/>
      <w:marRight w:val="0"/>
      <w:marTop w:val="0"/>
      <w:marBottom w:val="0"/>
      <w:divBdr>
        <w:top w:val="none" w:sz="0" w:space="0" w:color="auto"/>
        <w:left w:val="none" w:sz="0" w:space="0" w:color="auto"/>
        <w:bottom w:val="none" w:sz="0" w:space="0" w:color="auto"/>
        <w:right w:val="none" w:sz="0" w:space="0" w:color="auto"/>
      </w:divBdr>
    </w:div>
    <w:div w:id="1592272707">
      <w:marLeft w:val="0"/>
      <w:marRight w:val="0"/>
      <w:marTop w:val="0"/>
      <w:marBottom w:val="0"/>
      <w:divBdr>
        <w:top w:val="none" w:sz="0" w:space="0" w:color="auto"/>
        <w:left w:val="none" w:sz="0" w:space="0" w:color="auto"/>
        <w:bottom w:val="none" w:sz="0" w:space="0" w:color="auto"/>
        <w:right w:val="none" w:sz="0" w:space="0" w:color="auto"/>
      </w:divBdr>
    </w:div>
    <w:div w:id="1666014927">
      <w:marLeft w:val="0"/>
      <w:marRight w:val="0"/>
      <w:marTop w:val="0"/>
      <w:marBottom w:val="0"/>
      <w:divBdr>
        <w:top w:val="none" w:sz="0" w:space="0" w:color="auto"/>
        <w:left w:val="none" w:sz="0" w:space="0" w:color="auto"/>
        <w:bottom w:val="none" w:sz="0" w:space="0" w:color="auto"/>
        <w:right w:val="none" w:sz="0" w:space="0" w:color="auto"/>
      </w:divBdr>
    </w:div>
    <w:div w:id="1720124118">
      <w:marLeft w:val="0"/>
      <w:marRight w:val="0"/>
      <w:marTop w:val="0"/>
      <w:marBottom w:val="0"/>
      <w:divBdr>
        <w:top w:val="none" w:sz="0" w:space="0" w:color="auto"/>
        <w:left w:val="none" w:sz="0" w:space="0" w:color="auto"/>
        <w:bottom w:val="none" w:sz="0" w:space="0" w:color="auto"/>
        <w:right w:val="none" w:sz="0" w:space="0" w:color="auto"/>
      </w:divBdr>
    </w:div>
    <w:div w:id="1968852432">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tol/busquedaJurisprudencia/search?ponente=64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ol/busquedaJurisprudencia/search?ponente=646"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1168</Words>
  <Characters>6580</Characters>
  <Application>Microsoft Office Word</Application>
  <DocSecurity>0</DocSecurity>
  <Lines>54</Lines>
  <Paragraphs>15</Paragraphs>
  <ScaleCrop>false</ScaleCrop>
  <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Sanz - Safe Abogados</dc:creator>
  <cp:keywords/>
  <dc:description/>
  <cp:lastModifiedBy>Despacho - Safe Abogados</cp:lastModifiedBy>
  <cp:revision>5</cp:revision>
  <dcterms:created xsi:type="dcterms:W3CDTF">2021-12-16T06:33:00Z</dcterms:created>
  <dcterms:modified xsi:type="dcterms:W3CDTF">2021-12-16T18:53:00Z</dcterms:modified>
</cp:coreProperties>
</file>